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color w:val="000000"/>
          <w:sz w:val="20"/>
          <w:szCs w:val="20"/>
        </w:rPr>
      </w:pPr>
      <w:bookmarkStart w:id="0" w:name="_GoBack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قوانین پژوهشی واحد توسعه تحقیقات بالینی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1- 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اعضای هیئت علمی و دانشجویان دوره پزشکی عمومی در چارچوب این آئین نامه و متناسب با تخصص و وظایف علمی خود می توانند طرح پژوهشی ارائه دهند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شورای پژوهشی واحد حداقل هر دو هفته یکبار تشکیل میشود و درصورت لزوم و به صلاحدید سرپرست واحد جلسات فوق العاده برگزار میگردد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3 .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جلسات شورای پژوهشی و تحقیقات بالینی با حضور نصف بعلاوه یک اعضاء رسمیت می یابد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4 .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ریاست جلسات شورای واحد بر عهده سرپرست واحد و یا جانشین ایشان (معاونت آموزشی و یا رئیس بیمارستان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)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میباشد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5 .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برای تشکیل شورا حضور سرپرست واحد یا جانشین ایشان به عنوان رئیس جلسه الزامیست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6 .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نسخه ای از صورتجلسات شورای واحد باید به مدیریت پژوهشی دانشگاه ارسال گردد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7 .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در صورتیکه طرح پژوهشی پایان نامه باشد نسخه ای از صورتجلسات به مدیریت پژوهشی دانشکده پزشکی و یا یک نسخه نیز به مدیریت پژوهشی دانشگاه ارسال میگردد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8.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جهت انجام طرح های بدون هزینه در مرکز که پروپوزال کامل ندارند ، پس از ارائه خلاصه طرح ، در جلسات شورای پژوهشی واحد مطرح شده و سپس مجوز انجام طرح به آنها داده میشود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9.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مجریان پروپوزالهای مطرح شده در جلسه حداکثر ظرف مدت 3 هفته یامدت تعیین شده از طرف واحد ، موظف به اصلاح پروپوزال خود و تحویل آن به واحد جهت تأیید کارشناس میباشند در غیر اینصورت تصویب و عدم تصویب پروپوزال منوط به طرح مجدد در شورا می باشد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10.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مدت زمان انجام طرح از زمان تصویب پروپوزال میباشد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11.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پروپوزال های تحقیقاتی به صورت تکمیل شده به همراه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</w:t>
      </w:r>
      <w:r w:rsidRPr="00AA6DAE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CD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به واحد توسعه تحقیقات بالینی تحویل داده میشود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12.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پروپوزال های پایان نامه ها باید برگ تصویب شورای گروه را داشته باشند و حتماً به همراه نامه مدیر گروه به همراه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</w:t>
      </w:r>
      <w:r w:rsidRPr="00AA6DAE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CD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به واحد توسعه تحقیقات بالینی تحویل داده شوند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13.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طرح های تحقیقاتی قبل از جلسه پژوهشی توسط</w:t>
      </w: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کارشناس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 xml:space="preserve"> مورد بررسی قرار می گیرند. (حضور 2 کارشناس در جلسه الزامی است در صورت عدم حضور کارشناس ، فرم کارشناسی قبل از جلسه به مسئول واحد تحویل داده می شود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.)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14.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در مورد طرح های تحقیقاتی ، مجری موظف است گزارش نهایی طرح خود را به موقع</w:t>
      </w: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به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 xml:space="preserve"> واحد تحویل دهد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15.   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طبق مقررات واحد ، گزارش نهایی توسط</w:t>
      </w: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کارشناس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 xml:space="preserve"> طبق اصول نگارش گزارش نهایی طرح تحقیقاتی مورد بررسی و تأیید قرار می گیرند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16.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در صورت تأیید گزارش نهایی طرح تحقیقاتی توسط</w:t>
      </w: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کارشناس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 xml:space="preserve"> مربوطه ، گزارش نهایی طرح تحقیقاتی به همراه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</w:t>
      </w:r>
      <w:r w:rsidRPr="00AA6DAE">
        <w:rPr>
          <w:rFonts w:ascii="Tahoma" w:eastAsia="Times New Roman" w:hAnsi="Tahoma" w:cs="B Nazanin"/>
          <w:b/>
          <w:bCs/>
          <w:color w:val="000000"/>
          <w:sz w:val="20"/>
          <w:szCs w:val="20"/>
        </w:rPr>
        <w:t>CD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و کد طرح و گزارش زمان تحویل به موقع به مدیر پژوهشی دانشگاه ارسال میشود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17.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 xml:space="preserve">تصمیم گیری در مورد عقد قرارداد و بودجه در مورد کلیه طرح ها (پایان نامه و </w:t>
      </w: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تحقیقاتی )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 xml:space="preserve"> ، با معاونت تحقیقات و فناوری یا مدیر پژوهشی دانشگاه بوده و واحد توسعه تحقیقات بالینی مسئولیتی در قبال آن ندارد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lastRenderedPageBreak/>
        <w:t xml:space="preserve">18.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درحال حاضر سقف تعداد پایان نامه های مربوط به هر عضو محترم هیأت علمی جهت راهنمایی دانشجویان در مقطع کارورزی ، پنج پایان نامه میباشد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</w:t>
      </w: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19 .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لازم است در تمامی پایان نامه ها و گزارش نهایی طرح هایی که از مشاوره های واحد بهره مند میشوند در قسمت تقدیر و تشکرات ، نام واحد توسعه تحقیقات بالینی بیمارستان قید گردد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lang w:bidi="ar-SA"/>
        </w:rPr>
        <w:t>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  <w:lang w:bidi="ar-SA"/>
        </w:rPr>
        <w:t>و یک از نسخه از مقالات حاصل از طرح های مطرح شده در جلسه ، به واحد توسعه تحقیقات بالینی ارائه گردد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lang w:bidi="ar-SA"/>
        </w:rPr>
        <w:t xml:space="preserve"> 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20 .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سقف بودجه طرح های تحقیقاتی برای این مرکز ، پنجاه میلیون ریال برای اعضای هیأت علمی با درجه استادیاری و بالاتر و نیز متخصص غیر هیأت علمی شاغل در دانشگاه می باشد . سقف بودجه برای اعضای هیأت علمی مربی و دکترای حرفه ای و کارشناس ارشد غیر هیأت علمی شاغل در دانشگاه حداکثر سی و شش میلیون ریال بوده و برای کارشناسانی که گواهی گذراندن کارگاه روش تحقیق مقدماتی را ارائه نمایند ، بیست میلیون ریال در نظر گرفته شده است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21.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پروپوزال پایان نامه ها به صورت کامل و امضاء شده به همراه یک عدد سی دی به پیوست برگ تصویب شورای گروه آموزشی تحویل گرفته میشود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22 .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جهت انجام طرح هایی که در ارتباط با موارد انسانی انجام میشود کمیته اخلاق توسط واحد توسعه تحقیقات بالینی مرکز تشکیل و طرح مورد بررسی قرار می گیرد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23 .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مجری مکلف است طرح پژوهشی خود را طبق مفاد قرارداد و طرح نامه مصوب در چهار چوب جدول زمان بندی شده به پایان برساند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24 .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تمدید مدت انجام طرح منوط به درخواست کتبی مجری و موافقت شورای پژوهشی واحد و کمیته تخصصی مربوطه است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25 .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هرگونه تغییر در مفاد قرارداد با درخواست کتبی مجری و تصویب شورای پژوهشی دانشگاه خواهد بود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26 .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مجری مکلف است حداقل یک مقاله حاصل از طرح پژوهشی را درنشریه های معتبر علمی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–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پژوهشی منتشر کند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27 .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  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بودجه طرح های پژوهشی از محل اعتبارات پژوهشی دانشگاه تأمین میشود و میزان آن هر سال توسط معاونت پژوهشی و فناوری دانشگاه تعیین میگردد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Nazanin"/>
          <w:color w:val="000000"/>
          <w:sz w:val="20"/>
          <w:szCs w:val="20"/>
        </w:rPr>
      </w:pPr>
      <w:proofErr w:type="gramStart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28 .</w:t>
      </w:r>
      <w:proofErr w:type="gramEnd"/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 xml:space="preserve"> 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  <w:rtl/>
        </w:rPr>
        <w:t>مالکیت حقوق مادی و معنوی حاصل از طرح های پژوهشی درچارچوب قوانین متعلق به دانشگاه علوم پزشکی همدان میباشد</w:t>
      </w:r>
      <w:r w:rsidRPr="00AA6DAE">
        <w:rPr>
          <w:rFonts w:ascii="Tahoma" w:eastAsia="Times New Roman" w:hAnsi="Tahoma" w:cs="B Nazanin" w:hint="cs"/>
          <w:b/>
          <w:bCs/>
          <w:color w:val="000000"/>
          <w:sz w:val="20"/>
          <w:szCs w:val="20"/>
        </w:rPr>
        <w:t>.</w:t>
      </w:r>
    </w:p>
    <w:p w:rsidR="00AA6DAE" w:rsidRPr="00AA6DAE" w:rsidRDefault="00AA6DAE" w:rsidP="00AA6D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B Nazanin"/>
          <w:color w:val="000000"/>
          <w:sz w:val="20"/>
          <w:szCs w:val="20"/>
        </w:rPr>
      </w:pPr>
      <w:r w:rsidRPr="00AA6DAE">
        <w:rPr>
          <w:rFonts w:ascii="Tahoma" w:eastAsia="Times New Roman" w:hAnsi="Tahoma" w:cs="B Nazanin"/>
          <w:color w:val="000000"/>
          <w:sz w:val="20"/>
          <w:szCs w:val="20"/>
        </w:rPr>
        <w:t> </w:t>
      </w:r>
    </w:p>
    <w:bookmarkEnd w:id="0"/>
    <w:p w:rsidR="00FF1CA0" w:rsidRPr="00AA6DAE" w:rsidRDefault="00FF1CA0" w:rsidP="00AA6DAE">
      <w:pPr>
        <w:rPr>
          <w:rFonts w:cs="B Nazanin"/>
        </w:rPr>
      </w:pPr>
    </w:p>
    <w:sectPr w:rsidR="00FF1CA0" w:rsidRPr="00AA6DAE" w:rsidSect="000C70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AE"/>
    <w:rsid w:val="000C7007"/>
    <w:rsid w:val="00AA6DAE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2020-02-18T09:39:00Z</dcterms:created>
  <dcterms:modified xsi:type="dcterms:W3CDTF">2020-02-18T09:39:00Z</dcterms:modified>
</cp:coreProperties>
</file>